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8DC96" w14:textId="77777777" w:rsidR="00465E99" w:rsidRDefault="006577BF">
      <w:pPr>
        <w:spacing w:before="78"/>
        <w:ind w:left="2878" w:right="2897"/>
        <w:jc w:val="center"/>
        <w:rPr>
          <w:b/>
          <w:sz w:val="28"/>
        </w:rPr>
      </w:pPr>
      <w:r>
        <w:rPr>
          <w:b/>
          <w:sz w:val="28"/>
          <w:u w:val="single"/>
        </w:rPr>
        <w:t>Dividend Distribution Policy</w:t>
      </w:r>
    </w:p>
    <w:p w14:paraId="53D32DAC" w14:textId="77777777" w:rsidR="00465E99" w:rsidRDefault="00465E99">
      <w:pPr>
        <w:pStyle w:val="BodyText"/>
        <w:spacing w:before="1"/>
        <w:rPr>
          <w:b/>
          <w:sz w:val="25"/>
        </w:rPr>
      </w:pPr>
    </w:p>
    <w:p w14:paraId="678C0EC0" w14:textId="4D919CA0" w:rsidR="00465E99" w:rsidRDefault="006577BF">
      <w:pPr>
        <w:pStyle w:val="BodyText"/>
        <w:spacing w:before="92" w:line="259" w:lineRule="auto"/>
        <w:ind w:left="100" w:right="115"/>
        <w:jc w:val="both"/>
      </w:pPr>
      <w:r>
        <w:t>The Dividend Distribution Policy (“the policy”) establishes the principles to ascertain amounts that can be distributed to equity shareholders as dividend by the Company as well as enable the Company strike balance between pay-out and retained earnings, in order to address future needs of the Company. The policy shall come into force for accounting periods beginning from 1</w:t>
      </w:r>
      <w:r>
        <w:rPr>
          <w:position w:val="6"/>
          <w:sz w:val="16"/>
        </w:rPr>
        <w:t xml:space="preserve">st </w:t>
      </w:r>
      <w:r>
        <w:t>April, 20</w:t>
      </w:r>
      <w:r w:rsidR="00BF4F9C">
        <w:t>20</w:t>
      </w:r>
      <w:r>
        <w:t>.</w:t>
      </w:r>
    </w:p>
    <w:p w14:paraId="031ED1D7" w14:textId="77777777" w:rsidR="00465E99" w:rsidRDefault="00465E99">
      <w:pPr>
        <w:pStyle w:val="BodyText"/>
        <w:spacing w:before="8"/>
        <w:rPr>
          <w:sz w:val="25"/>
        </w:rPr>
      </w:pPr>
    </w:p>
    <w:p w14:paraId="5064E2C5" w14:textId="255FD8B8" w:rsidR="00465E99" w:rsidRDefault="006577BF">
      <w:pPr>
        <w:pStyle w:val="BodyText"/>
        <w:spacing w:line="259" w:lineRule="auto"/>
        <w:ind w:left="100" w:right="117"/>
        <w:jc w:val="both"/>
      </w:pPr>
      <w:r>
        <w:t>Dividend</w:t>
      </w:r>
      <w:r>
        <w:rPr>
          <w:spacing w:val="-17"/>
        </w:rPr>
        <w:t xml:space="preserve"> </w:t>
      </w:r>
      <w:r>
        <w:t>would</w:t>
      </w:r>
      <w:r>
        <w:rPr>
          <w:spacing w:val="-14"/>
        </w:rPr>
        <w:t xml:space="preserve"> </w:t>
      </w:r>
      <w:r>
        <w:t>continue</w:t>
      </w:r>
      <w:r>
        <w:rPr>
          <w:spacing w:val="-14"/>
        </w:rPr>
        <w:t xml:space="preserve"> </w:t>
      </w:r>
      <w:r>
        <w:t>to</w:t>
      </w:r>
      <w:r>
        <w:rPr>
          <w:spacing w:val="-15"/>
        </w:rPr>
        <w:t xml:space="preserve"> </w:t>
      </w:r>
      <w:r>
        <w:t>be</w:t>
      </w:r>
      <w:r>
        <w:rPr>
          <w:spacing w:val="-16"/>
        </w:rPr>
        <w:t xml:space="preserve"> </w:t>
      </w:r>
      <w:r>
        <w:t>declared</w:t>
      </w:r>
      <w:r>
        <w:rPr>
          <w:spacing w:val="-16"/>
        </w:rPr>
        <w:t xml:space="preserve"> </w:t>
      </w:r>
      <w:r>
        <w:t>on</w:t>
      </w:r>
      <w:r>
        <w:rPr>
          <w:spacing w:val="-16"/>
        </w:rPr>
        <w:t xml:space="preserve"> </w:t>
      </w:r>
      <w:r w:rsidR="00BF4F9C">
        <w:t>per</w:t>
      </w:r>
      <w:r w:rsidR="00BF4F9C">
        <w:rPr>
          <w:spacing w:val="-15"/>
        </w:rPr>
        <w:t xml:space="preserve"> Equity </w:t>
      </w:r>
      <w:r>
        <w:t>share</w:t>
      </w:r>
      <w:r>
        <w:rPr>
          <w:spacing w:val="-15"/>
        </w:rPr>
        <w:t xml:space="preserve"> </w:t>
      </w:r>
      <w:r w:rsidR="00BF4F9C">
        <w:t>basis</w:t>
      </w:r>
      <w:r w:rsidR="00BF4F9C">
        <w:rPr>
          <w:spacing w:val="-17"/>
        </w:rPr>
        <w:t xml:space="preserve"> </w:t>
      </w:r>
      <w:r w:rsidR="00BF4F9C">
        <w:t>of</w:t>
      </w:r>
      <w:r>
        <w:t xml:space="preserve"> the Company having face value R</w:t>
      </w:r>
      <w:r w:rsidR="00BF4F9C">
        <w:t>e</w:t>
      </w:r>
      <w:r>
        <w:t>.</w:t>
      </w:r>
      <w:r w:rsidR="00BF4F9C">
        <w:t>1/</w:t>
      </w:r>
      <w:r>
        <w:t xml:space="preserve"> each. The Company currently has no other class of shares. Therefore, dividend declared will be distributed amongst all shareholders, based on their shareholding on the record</w:t>
      </w:r>
      <w:r>
        <w:rPr>
          <w:spacing w:val="-3"/>
        </w:rPr>
        <w:t xml:space="preserve"> </w:t>
      </w:r>
      <w:r>
        <w:t>date.</w:t>
      </w:r>
    </w:p>
    <w:p w14:paraId="495C8C37" w14:textId="77777777" w:rsidR="00465E99" w:rsidRDefault="00465E99">
      <w:pPr>
        <w:pStyle w:val="BodyText"/>
        <w:spacing w:before="12"/>
        <w:rPr>
          <w:sz w:val="25"/>
        </w:rPr>
      </w:pPr>
    </w:p>
    <w:p w14:paraId="7E7BF2FE" w14:textId="77777777" w:rsidR="00465E99" w:rsidRDefault="006577BF">
      <w:pPr>
        <w:pStyle w:val="BodyText"/>
        <w:spacing w:line="259" w:lineRule="auto"/>
        <w:ind w:left="100" w:right="114"/>
        <w:jc w:val="both"/>
      </w:pPr>
      <w:r>
        <w:t>Dividends will generally be recommended by the Board once a year, after the announcement of the full year results and before the Annual General Meeting (AGM) of the</w:t>
      </w:r>
      <w:r>
        <w:rPr>
          <w:spacing w:val="-14"/>
        </w:rPr>
        <w:t xml:space="preserve"> </w:t>
      </w:r>
      <w:r>
        <w:t>shareholders,</w:t>
      </w:r>
      <w:r>
        <w:rPr>
          <w:spacing w:val="-13"/>
        </w:rPr>
        <w:t xml:space="preserve"> </w:t>
      </w:r>
      <w:r>
        <w:t>as</w:t>
      </w:r>
      <w:r>
        <w:rPr>
          <w:spacing w:val="-14"/>
        </w:rPr>
        <w:t xml:space="preserve"> </w:t>
      </w:r>
      <w:r>
        <w:t>may</w:t>
      </w:r>
      <w:r>
        <w:rPr>
          <w:spacing w:val="-13"/>
        </w:rPr>
        <w:t xml:space="preserve"> </w:t>
      </w:r>
      <w:r>
        <w:t>be</w:t>
      </w:r>
      <w:r>
        <w:rPr>
          <w:spacing w:val="-14"/>
        </w:rPr>
        <w:t xml:space="preserve"> </w:t>
      </w:r>
      <w:r>
        <w:t>permitted</w:t>
      </w:r>
      <w:r>
        <w:rPr>
          <w:spacing w:val="-13"/>
        </w:rPr>
        <w:t xml:space="preserve"> </w:t>
      </w:r>
      <w:r>
        <w:t>by</w:t>
      </w:r>
      <w:r>
        <w:rPr>
          <w:spacing w:val="-13"/>
        </w:rPr>
        <w:t xml:space="preserve"> </w:t>
      </w:r>
      <w:r>
        <w:t>the</w:t>
      </w:r>
      <w:r>
        <w:rPr>
          <w:spacing w:val="-14"/>
        </w:rPr>
        <w:t xml:space="preserve"> </w:t>
      </w:r>
      <w:r>
        <w:t>Companies</w:t>
      </w:r>
      <w:r>
        <w:rPr>
          <w:spacing w:val="-13"/>
        </w:rPr>
        <w:t xml:space="preserve"> </w:t>
      </w:r>
      <w:r>
        <w:t>Act.</w:t>
      </w:r>
      <w:r>
        <w:rPr>
          <w:spacing w:val="-13"/>
        </w:rPr>
        <w:t xml:space="preserve"> </w:t>
      </w:r>
      <w:r>
        <w:t>The</w:t>
      </w:r>
      <w:r>
        <w:rPr>
          <w:spacing w:val="-13"/>
        </w:rPr>
        <w:t xml:space="preserve"> </w:t>
      </w:r>
      <w:r>
        <w:t>Board</w:t>
      </w:r>
      <w:r>
        <w:rPr>
          <w:spacing w:val="-14"/>
        </w:rPr>
        <w:t xml:space="preserve"> </w:t>
      </w:r>
      <w:r>
        <w:t>may</w:t>
      </w:r>
      <w:r>
        <w:rPr>
          <w:spacing w:val="-12"/>
        </w:rPr>
        <w:t xml:space="preserve"> </w:t>
      </w:r>
      <w:r>
        <w:t>also</w:t>
      </w:r>
      <w:r>
        <w:rPr>
          <w:spacing w:val="-12"/>
        </w:rPr>
        <w:t xml:space="preserve"> </w:t>
      </w:r>
      <w:r>
        <w:t>declare interim dividends as may be permitted by the Companies</w:t>
      </w:r>
      <w:r>
        <w:rPr>
          <w:spacing w:val="-7"/>
        </w:rPr>
        <w:t xml:space="preserve"> </w:t>
      </w:r>
      <w:r>
        <w:t>Act.</w:t>
      </w:r>
    </w:p>
    <w:p w14:paraId="7425F261" w14:textId="77777777" w:rsidR="00465E99" w:rsidRDefault="00465E99">
      <w:pPr>
        <w:pStyle w:val="BodyText"/>
        <w:spacing w:before="9"/>
        <w:rPr>
          <w:sz w:val="25"/>
        </w:rPr>
      </w:pPr>
    </w:p>
    <w:p w14:paraId="6ED07A08" w14:textId="77777777" w:rsidR="00465E99" w:rsidRDefault="006577BF">
      <w:pPr>
        <w:pStyle w:val="BodyText"/>
        <w:spacing w:line="259" w:lineRule="auto"/>
        <w:ind w:left="100" w:right="117"/>
        <w:jc w:val="both"/>
      </w:pPr>
      <w:r>
        <w:t>The Company has had a consistent dividend policy that balances the objective of appropriately rewarding shareholders through dividends and to support the future growth.</w:t>
      </w:r>
    </w:p>
    <w:p w14:paraId="4EE67C6B" w14:textId="77777777" w:rsidR="00465E99" w:rsidRDefault="00465E99">
      <w:pPr>
        <w:pStyle w:val="BodyText"/>
        <w:rPr>
          <w:sz w:val="26"/>
        </w:rPr>
      </w:pPr>
    </w:p>
    <w:p w14:paraId="7B3FE3EB" w14:textId="617277CE" w:rsidR="00465E99" w:rsidRDefault="006577BF">
      <w:pPr>
        <w:pStyle w:val="BodyText"/>
        <w:spacing w:line="259" w:lineRule="auto"/>
        <w:ind w:left="100" w:right="112"/>
        <w:jc w:val="both"/>
      </w:pPr>
      <w:r>
        <w:t>As in the past, subject to the provisions of the applicable law, the Company’s dividend payout will be determined based on available financial resources, investment requirements and taking into account optimal shareholder return. Within these parameters, the Company would endeavor to maintain a total dividend pay-out ratio in the</w:t>
      </w:r>
      <w:r w:rsidR="00BF4F9C">
        <w:t xml:space="preserve"> </w:t>
      </w:r>
      <w:r w:rsidR="00BA2E9C">
        <w:t xml:space="preserve">good </w:t>
      </w:r>
      <w:r w:rsidR="00BA2E9C">
        <w:rPr>
          <w:spacing w:val="-11"/>
        </w:rPr>
        <w:t>range</w:t>
      </w:r>
      <w:r>
        <w:rPr>
          <w:spacing w:val="-10"/>
        </w:rPr>
        <w:t xml:space="preserve"> </w:t>
      </w:r>
      <w:r w:rsidR="00BA2E9C">
        <w:t>of</w:t>
      </w:r>
      <w:r w:rsidR="00BA2E9C">
        <w:rPr>
          <w:spacing w:val="-12"/>
        </w:rPr>
        <w:t xml:space="preserve"> </w:t>
      </w:r>
      <w:r w:rsidR="00BA2E9C">
        <w:rPr>
          <w:spacing w:val="-10"/>
        </w:rPr>
        <w:t>the</w:t>
      </w:r>
      <w:r>
        <w:rPr>
          <w:spacing w:val="-11"/>
        </w:rPr>
        <w:t xml:space="preserve"> </w:t>
      </w:r>
      <w:r>
        <w:t>annual</w:t>
      </w:r>
      <w:r>
        <w:rPr>
          <w:spacing w:val="-12"/>
        </w:rPr>
        <w:t xml:space="preserve"> </w:t>
      </w:r>
      <w:r>
        <w:t>standalone</w:t>
      </w:r>
      <w:r>
        <w:rPr>
          <w:spacing w:val="-11"/>
        </w:rPr>
        <w:t xml:space="preserve"> </w:t>
      </w:r>
      <w:r>
        <w:t>Profits</w:t>
      </w:r>
      <w:r>
        <w:rPr>
          <w:spacing w:val="-12"/>
        </w:rPr>
        <w:t xml:space="preserve"> </w:t>
      </w:r>
      <w:r>
        <w:t>after</w:t>
      </w:r>
      <w:r>
        <w:rPr>
          <w:spacing w:val="-10"/>
        </w:rPr>
        <w:t xml:space="preserve"> </w:t>
      </w:r>
      <w:r>
        <w:t>Tax</w:t>
      </w:r>
      <w:r>
        <w:rPr>
          <w:spacing w:val="-10"/>
        </w:rPr>
        <w:t xml:space="preserve"> </w:t>
      </w:r>
      <w:r>
        <w:t>(PAT)</w:t>
      </w:r>
      <w:r>
        <w:rPr>
          <w:spacing w:val="-12"/>
        </w:rPr>
        <w:t xml:space="preserve"> </w:t>
      </w:r>
      <w:r>
        <w:t>of</w:t>
      </w:r>
      <w:r>
        <w:rPr>
          <w:spacing w:val="-12"/>
        </w:rPr>
        <w:t xml:space="preserve"> </w:t>
      </w:r>
      <w:r>
        <w:t>the</w:t>
      </w:r>
      <w:r>
        <w:rPr>
          <w:spacing w:val="-11"/>
        </w:rPr>
        <w:t xml:space="preserve"> </w:t>
      </w:r>
      <w:r>
        <w:t>Company.</w:t>
      </w:r>
    </w:p>
    <w:p w14:paraId="5D17A069" w14:textId="77777777" w:rsidR="00465E99" w:rsidRDefault="00465E99">
      <w:pPr>
        <w:pStyle w:val="BodyText"/>
        <w:spacing w:before="8"/>
        <w:rPr>
          <w:sz w:val="25"/>
        </w:rPr>
      </w:pPr>
    </w:p>
    <w:p w14:paraId="6E71C7AA" w14:textId="77777777" w:rsidR="00465E99" w:rsidRDefault="006577BF">
      <w:pPr>
        <w:pStyle w:val="BodyText"/>
        <w:ind w:left="100" w:right="117"/>
        <w:jc w:val="both"/>
      </w:pPr>
      <w:r>
        <w:t>While</w:t>
      </w:r>
      <w:r>
        <w:rPr>
          <w:spacing w:val="-10"/>
        </w:rPr>
        <w:t xml:space="preserve"> </w:t>
      </w:r>
      <w:r>
        <w:t>determining</w:t>
      </w:r>
      <w:r>
        <w:rPr>
          <w:spacing w:val="-9"/>
        </w:rPr>
        <w:t xml:space="preserve"> </w:t>
      </w:r>
      <w:r>
        <w:t>the</w:t>
      </w:r>
      <w:r>
        <w:rPr>
          <w:spacing w:val="-9"/>
        </w:rPr>
        <w:t xml:space="preserve"> </w:t>
      </w:r>
      <w:r>
        <w:t>nature</w:t>
      </w:r>
      <w:r>
        <w:rPr>
          <w:spacing w:val="-8"/>
        </w:rPr>
        <w:t xml:space="preserve"> </w:t>
      </w:r>
      <w:r>
        <w:t>and</w:t>
      </w:r>
      <w:r>
        <w:rPr>
          <w:spacing w:val="-10"/>
        </w:rPr>
        <w:t xml:space="preserve"> </w:t>
      </w:r>
      <w:r>
        <w:t>quantum</w:t>
      </w:r>
      <w:r>
        <w:rPr>
          <w:spacing w:val="-11"/>
        </w:rPr>
        <w:t xml:space="preserve"> </w:t>
      </w:r>
      <w:r>
        <w:t>of</w:t>
      </w:r>
      <w:r>
        <w:rPr>
          <w:spacing w:val="-8"/>
        </w:rPr>
        <w:t xml:space="preserve"> </w:t>
      </w:r>
      <w:r>
        <w:t>the</w:t>
      </w:r>
      <w:r>
        <w:rPr>
          <w:spacing w:val="-7"/>
        </w:rPr>
        <w:t xml:space="preserve"> </w:t>
      </w:r>
      <w:r>
        <w:t>dividend</w:t>
      </w:r>
      <w:r>
        <w:rPr>
          <w:spacing w:val="-10"/>
        </w:rPr>
        <w:t xml:space="preserve"> </w:t>
      </w:r>
      <w:r>
        <w:t>payout,</w:t>
      </w:r>
      <w:r>
        <w:rPr>
          <w:spacing w:val="-9"/>
        </w:rPr>
        <w:t xml:space="preserve"> </w:t>
      </w:r>
      <w:r>
        <w:t>including</w:t>
      </w:r>
      <w:r>
        <w:rPr>
          <w:spacing w:val="-7"/>
        </w:rPr>
        <w:t xml:space="preserve"> </w:t>
      </w:r>
      <w:r>
        <w:t>amending the suggested payout range as above, the Board would take into account the following factors:</w:t>
      </w:r>
    </w:p>
    <w:p w14:paraId="1E05B7B3" w14:textId="77777777" w:rsidR="00465E99" w:rsidRDefault="00465E99">
      <w:pPr>
        <w:pStyle w:val="BodyText"/>
        <w:spacing w:before="11"/>
        <w:rPr>
          <w:sz w:val="23"/>
        </w:rPr>
      </w:pPr>
    </w:p>
    <w:p w14:paraId="5C651A14" w14:textId="77777777" w:rsidR="00465E99" w:rsidRDefault="006577BF">
      <w:pPr>
        <w:pStyle w:val="ListParagraph"/>
        <w:numPr>
          <w:ilvl w:val="0"/>
          <w:numId w:val="3"/>
        </w:numPr>
        <w:tabs>
          <w:tab w:val="left" w:pos="820"/>
          <w:tab w:val="left" w:pos="821"/>
        </w:tabs>
        <w:spacing w:before="0"/>
        <w:ind w:hanging="361"/>
        <w:rPr>
          <w:sz w:val="24"/>
        </w:rPr>
      </w:pPr>
      <w:r>
        <w:rPr>
          <w:sz w:val="24"/>
        </w:rPr>
        <w:t>Internal</w:t>
      </w:r>
      <w:r>
        <w:rPr>
          <w:spacing w:val="-2"/>
          <w:sz w:val="24"/>
        </w:rPr>
        <w:t xml:space="preserve"> </w:t>
      </w:r>
      <w:r>
        <w:rPr>
          <w:sz w:val="24"/>
        </w:rPr>
        <w:t>Factors:</w:t>
      </w:r>
    </w:p>
    <w:p w14:paraId="2DA6591E" w14:textId="77777777" w:rsidR="00465E99" w:rsidRDefault="00465E99">
      <w:pPr>
        <w:pStyle w:val="BodyText"/>
        <w:spacing w:before="1"/>
        <w:rPr>
          <w:sz w:val="26"/>
        </w:rPr>
      </w:pPr>
    </w:p>
    <w:p w14:paraId="61B5A44B" w14:textId="77777777" w:rsidR="00465E99" w:rsidRDefault="006577BF">
      <w:pPr>
        <w:pStyle w:val="ListParagraph"/>
        <w:numPr>
          <w:ilvl w:val="1"/>
          <w:numId w:val="3"/>
        </w:numPr>
        <w:tabs>
          <w:tab w:val="left" w:pos="1180"/>
          <w:tab w:val="left" w:pos="1181"/>
        </w:tabs>
        <w:spacing w:before="0" w:line="259" w:lineRule="auto"/>
        <w:ind w:right="116"/>
        <w:jc w:val="left"/>
        <w:rPr>
          <w:sz w:val="24"/>
        </w:rPr>
      </w:pPr>
      <w:r>
        <w:rPr>
          <w:sz w:val="24"/>
        </w:rPr>
        <w:t>Profitable growth of the Company and specifically, profits earned during the financial year as compared</w:t>
      </w:r>
      <w:r>
        <w:rPr>
          <w:spacing w:val="1"/>
          <w:sz w:val="24"/>
        </w:rPr>
        <w:t xml:space="preserve"> </w:t>
      </w:r>
      <w:r>
        <w:rPr>
          <w:sz w:val="24"/>
        </w:rPr>
        <w:t>with:</w:t>
      </w:r>
    </w:p>
    <w:p w14:paraId="106CCDA1" w14:textId="77777777" w:rsidR="00465E99" w:rsidRDefault="006577BF">
      <w:pPr>
        <w:pStyle w:val="ListParagraph"/>
        <w:numPr>
          <w:ilvl w:val="2"/>
          <w:numId w:val="3"/>
        </w:numPr>
        <w:tabs>
          <w:tab w:val="left" w:pos="1901"/>
        </w:tabs>
        <w:spacing w:before="0" w:line="297" w:lineRule="exact"/>
        <w:ind w:hanging="361"/>
        <w:rPr>
          <w:sz w:val="24"/>
        </w:rPr>
      </w:pPr>
      <w:r>
        <w:rPr>
          <w:sz w:val="24"/>
        </w:rPr>
        <w:t>Previous years and</w:t>
      </w:r>
    </w:p>
    <w:p w14:paraId="3919610C" w14:textId="77777777" w:rsidR="00465E99" w:rsidRDefault="006577BF">
      <w:pPr>
        <w:pStyle w:val="ListParagraph"/>
        <w:numPr>
          <w:ilvl w:val="2"/>
          <w:numId w:val="3"/>
        </w:numPr>
        <w:tabs>
          <w:tab w:val="left" w:pos="1901"/>
        </w:tabs>
        <w:spacing w:before="26"/>
        <w:ind w:hanging="361"/>
        <w:rPr>
          <w:sz w:val="24"/>
        </w:rPr>
      </w:pPr>
      <w:r>
        <w:rPr>
          <w:sz w:val="24"/>
        </w:rPr>
        <w:t>Internal</w:t>
      </w:r>
      <w:r>
        <w:rPr>
          <w:spacing w:val="-2"/>
          <w:sz w:val="24"/>
        </w:rPr>
        <w:t xml:space="preserve"> </w:t>
      </w:r>
      <w:r>
        <w:rPr>
          <w:sz w:val="24"/>
        </w:rPr>
        <w:t>budgets,</w:t>
      </w:r>
    </w:p>
    <w:p w14:paraId="1DACCEBF" w14:textId="77777777" w:rsidR="00465E99" w:rsidRDefault="006577BF">
      <w:pPr>
        <w:pStyle w:val="ListParagraph"/>
        <w:numPr>
          <w:ilvl w:val="1"/>
          <w:numId w:val="3"/>
        </w:numPr>
        <w:tabs>
          <w:tab w:val="left" w:pos="1180"/>
          <w:tab w:val="left" w:pos="1181"/>
        </w:tabs>
        <w:ind w:hanging="560"/>
        <w:jc w:val="left"/>
        <w:rPr>
          <w:sz w:val="24"/>
        </w:rPr>
      </w:pPr>
      <w:r>
        <w:rPr>
          <w:sz w:val="24"/>
        </w:rPr>
        <w:t>Cash flow position of the</w:t>
      </w:r>
      <w:r>
        <w:rPr>
          <w:spacing w:val="-3"/>
          <w:sz w:val="24"/>
        </w:rPr>
        <w:t xml:space="preserve"> </w:t>
      </w:r>
      <w:r>
        <w:rPr>
          <w:sz w:val="24"/>
        </w:rPr>
        <w:t>Company,</w:t>
      </w:r>
    </w:p>
    <w:p w14:paraId="09843082" w14:textId="77777777" w:rsidR="00465E99" w:rsidRDefault="006577BF">
      <w:pPr>
        <w:pStyle w:val="ListParagraph"/>
        <w:numPr>
          <w:ilvl w:val="1"/>
          <w:numId w:val="3"/>
        </w:numPr>
        <w:tabs>
          <w:tab w:val="left" w:pos="1180"/>
          <w:tab w:val="left" w:pos="1181"/>
        </w:tabs>
        <w:ind w:hanging="630"/>
        <w:jc w:val="left"/>
        <w:rPr>
          <w:sz w:val="24"/>
        </w:rPr>
      </w:pPr>
      <w:r>
        <w:rPr>
          <w:sz w:val="24"/>
        </w:rPr>
        <w:t>Accumulated</w:t>
      </w:r>
      <w:r>
        <w:rPr>
          <w:spacing w:val="-1"/>
          <w:sz w:val="24"/>
        </w:rPr>
        <w:t xml:space="preserve"> </w:t>
      </w:r>
      <w:r>
        <w:rPr>
          <w:sz w:val="24"/>
        </w:rPr>
        <w:t>reserves</w:t>
      </w:r>
    </w:p>
    <w:p w14:paraId="2F45AAC4" w14:textId="77777777" w:rsidR="00465E99" w:rsidRDefault="00465E99">
      <w:pPr>
        <w:rPr>
          <w:sz w:val="24"/>
        </w:rPr>
        <w:sectPr w:rsidR="00465E99">
          <w:type w:val="continuous"/>
          <w:pgSz w:w="12240" w:h="15840"/>
          <w:pgMar w:top="1360" w:right="1320" w:bottom="280" w:left="1340" w:header="720" w:footer="720" w:gutter="0"/>
          <w:pgBorders w:offsetFrom="page">
            <w:top w:val="single" w:sz="8" w:space="24" w:color="000000"/>
            <w:left w:val="single" w:sz="8" w:space="24" w:color="000000"/>
            <w:bottom w:val="single" w:sz="8" w:space="24" w:color="000000"/>
            <w:right w:val="single" w:sz="8" w:space="24" w:color="000000"/>
          </w:pgBorders>
          <w:cols w:space="720"/>
        </w:sectPr>
      </w:pPr>
    </w:p>
    <w:p w14:paraId="1EB4FC3E" w14:textId="77777777" w:rsidR="00465E99" w:rsidRDefault="006577BF">
      <w:pPr>
        <w:pStyle w:val="ListParagraph"/>
        <w:numPr>
          <w:ilvl w:val="1"/>
          <w:numId w:val="3"/>
        </w:numPr>
        <w:tabs>
          <w:tab w:val="left" w:pos="1180"/>
          <w:tab w:val="left" w:pos="1181"/>
        </w:tabs>
        <w:spacing w:before="80"/>
        <w:ind w:hanging="627"/>
        <w:jc w:val="left"/>
        <w:rPr>
          <w:sz w:val="24"/>
        </w:rPr>
      </w:pPr>
      <w:r>
        <w:rPr>
          <w:sz w:val="24"/>
        </w:rPr>
        <w:lastRenderedPageBreak/>
        <w:t>Earnings</w:t>
      </w:r>
      <w:r>
        <w:rPr>
          <w:spacing w:val="-2"/>
          <w:sz w:val="24"/>
        </w:rPr>
        <w:t xml:space="preserve"> </w:t>
      </w:r>
      <w:r>
        <w:rPr>
          <w:sz w:val="24"/>
        </w:rPr>
        <w:t>stability</w:t>
      </w:r>
    </w:p>
    <w:p w14:paraId="203DA49A" w14:textId="77777777" w:rsidR="00465E99" w:rsidRDefault="006577BF">
      <w:pPr>
        <w:pStyle w:val="ListParagraph"/>
        <w:numPr>
          <w:ilvl w:val="1"/>
          <w:numId w:val="3"/>
        </w:numPr>
        <w:tabs>
          <w:tab w:val="left" w:pos="1180"/>
          <w:tab w:val="left" w:pos="1181"/>
        </w:tabs>
        <w:spacing w:line="259" w:lineRule="auto"/>
        <w:ind w:right="116" w:hanging="555"/>
        <w:jc w:val="left"/>
        <w:rPr>
          <w:sz w:val="24"/>
        </w:rPr>
      </w:pPr>
      <w:r>
        <w:rPr>
          <w:sz w:val="24"/>
        </w:rPr>
        <w:t>Future cash requirements for organic growth/expansion and/or for inorganic growth,</w:t>
      </w:r>
    </w:p>
    <w:p w14:paraId="77E065C2" w14:textId="77777777" w:rsidR="00465E99" w:rsidRDefault="006577BF">
      <w:pPr>
        <w:pStyle w:val="ListParagraph"/>
        <w:numPr>
          <w:ilvl w:val="1"/>
          <w:numId w:val="3"/>
        </w:numPr>
        <w:tabs>
          <w:tab w:val="left" w:pos="1180"/>
          <w:tab w:val="left" w:pos="1181"/>
        </w:tabs>
        <w:spacing w:before="0" w:line="297" w:lineRule="exact"/>
        <w:ind w:hanging="627"/>
        <w:jc w:val="left"/>
        <w:rPr>
          <w:sz w:val="24"/>
        </w:rPr>
      </w:pPr>
      <w:r>
        <w:rPr>
          <w:sz w:val="24"/>
        </w:rPr>
        <w:t>Brand</w:t>
      </w:r>
      <w:r>
        <w:rPr>
          <w:spacing w:val="-2"/>
          <w:sz w:val="24"/>
        </w:rPr>
        <w:t xml:space="preserve"> </w:t>
      </w:r>
      <w:r>
        <w:rPr>
          <w:sz w:val="24"/>
        </w:rPr>
        <w:t>acquisitions,</w:t>
      </w:r>
    </w:p>
    <w:p w14:paraId="76ACBE0E" w14:textId="77777777" w:rsidR="00465E99" w:rsidRDefault="006577BF">
      <w:pPr>
        <w:pStyle w:val="ListParagraph"/>
        <w:numPr>
          <w:ilvl w:val="1"/>
          <w:numId w:val="3"/>
        </w:numPr>
        <w:tabs>
          <w:tab w:val="left" w:pos="1180"/>
          <w:tab w:val="left" w:pos="1181"/>
        </w:tabs>
        <w:spacing w:before="24" w:line="261" w:lineRule="auto"/>
        <w:ind w:right="119" w:hanging="696"/>
        <w:jc w:val="left"/>
        <w:rPr>
          <w:sz w:val="24"/>
        </w:rPr>
      </w:pPr>
      <w:r>
        <w:rPr>
          <w:sz w:val="24"/>
        </w:rPr>
        <w:t>Current</w:t>
      </w:r>
      <w:r>
        <w:rPr>
          <w:spacing w:val="-12"/>
          <w:sz w:val="24"/>
        </w:rPr>
        <w:t xml:space="preserve"> </w:t>
      </w:r>
      <w:r>
        <w:rPr>
          <w:sz w:val="24"/>
        </w:rPr>
        <w:t>and</w:t>
      </w:r>
      <w:r>
        <w:rPr>
          <w:spacing w:val="-15"/>
          <w:sz w:val="24"/>
        </w:rPr>
        <w:t xml:space="preserve"> </w:t>
      </w:r>
      <w:r>
        <w:rPr>
          <w:sz w:val="24"/>
        </w:rPr>
        <w:t>future</w:t>
      </w:r>
      <w:r>
        <w:rPr>
          <w:spacing w:val="-12"/>
          <w:sz w:val="24"/>
        </w:rPr>
        <w:t xml:space="preserve"> </w:t>
      </w:r>
      <w:r>
        <w:rPr>
          <w:sz w:val="24"/>
        </w:rPr>
        <w:t>leverage</w:t>
      </w:r>
      <w:r>
        <w:rPr>
          <w:spacing w:val="-11"/>
          <w:sz w:val="24"/>
        </w:rPr>
        <w:t xml:space="preserve"> </w:t>
      </w:r>
      <w:r>
        <w:rPr>
          <w:sz w:val="24"/>
        </w:rPr>
        <w:t>and,</w:t>
      </w:r>
      <w:r>
        <w:rPr>
          <w:spacing w:val="-15"/>
          <w:sz w:val="24"/>
        </w:rPr>
        <w:t xml:space="preserve"> </w:t>
      </w:r>
      <w:r>
        <w:rPr>
          <w:sz w:val="24"/>
        </w:rPr>
        <w:t>under</w:t>
      </w:r>
      <w:r>
        <w:rPr>
          <w:spacing w:val="-11"/>
          <w:sz w:val="24"/>
        </w:rPr>
        <w:t xml:space="preserve"> </w:t>
      </w:r>
      <w:r>
        <w:rPr>
          <w:sz w:val="24"/>
        </w:rPr>
        <w:t>exceptional</w:t>
      </w:r>
      <w:r>
        <w:rPr>
          <w:spacing w:val="-14"/>
          <w:sz w:val="24"/>
        </w:rPr>
        <w:t xml:space="preserve"> </w:t>
      </w:r>
      <w:r>
        <w:rPr>
          <w:sz w:val="24"/>
        </w:rPr>
        <w:t>circumstances,</w:t>
      </w:r>
      <w:r>
        <w:rPr>
          <w:spacing w:val="-12"/>
          <w:sz w:val="24"/>
        </w:rPr>
        <w:t xml:space="preserve"> </w:t>
      </w:r>
      <w:r>
        <w:rPr>
          <w:sz w:val="24"/>
        </w:rPr>
        <w:t>the</w:t>
      </w:r>
      <w:r>
        <w:rPr>
          <w:spacing w:val="-12"/>
          <w:sz w:val="24"/>
        </w:rPr>
        <w:t xml:space="preserve"> </w:t>
      </w:r>
      <w:r>
        <w:rPr>
          <w:sz w:val="24"/>
        </w:rPr>
        <w:t>amount of contingent</w:t>
      </w:r>
      <w:r>
        <w:rPr>
          <w:spacing w:val="-1"/>
          <w:sz w:val="24"/>
        </w:rPr>
        <w:t xml:space="preserve"> </w:t>
      </w:r>
      <w:r>
        <w:rPr>
          <w:sz w:val="24"/>
        </w:rPr>
        <w:t>liabilities,</w:t>
      </w:r>
    </w:p>
    <w:p w14:paraId="5C042595" w14:textId="77777777" w:rsidR="00465E99" w:rsidRDefault="006577BF">
      <w:pPr>
        <w:pStyle w:val="ListParagraph"/>
        <w:numPr>
          <w:ilvl w:val="1"/>
          <w:numId w:val="3"/>
        </w:numPr>
        <w:tabs>
          <w:tab w:val="left" w:pos="1180"/>
          <w:tab w:val="left" w:pos="1181"/>
        </w:tabs>
        <w:spacing w:before="0" w:line="294" w:lineRule="exact"/>
        <w:ind w:hanging="767"/>
        <w:jc w:val="left"/>
        <w:rPr>
          <w:sz w:val="24"/>
        </w:rPr>
      </w:pPr>
      <w:r>
        <w:rPr>
          <w:sz w:val="24"/>
        </w:rPr>
        <w:t>Deployment of funds in short term marketable</w:t>
      </w:r>
      <w:r>
        <w:rPr>
          <w:spacing w:val="-7"/>
          <w:sz w:val="24"/>
        </w:rPr>
        <w:t xml:space="preserve"> </w:t>
      </w:r>
      <w:r>
        <w:rPr>
          <w:sz w:val="24"/>
        </w:rPr>
        <w:t>investments,</w:t>
      </w:r>
    </w:p>
    <w:p w14:paraId="2622A0C5" w14:textId="77777777" w:rsidR="00465E99" w:rsidRDefault="006577BF">
      <w:pPr>
        <w:pStyle w:val="ListParagraph"/>
        <w:numPr>
          <w:ilvl w:val="1"/>
          <w:numId w:val="3"/>
        </w:numPr>
        <w:tabs>
          <w:tab w:val="left" w:pos="1180"/>
          <w:tab w:val="left" w:pos="1181"/>
        </w:tabs>
        <w:ind w:hanging="615"/>
        <w:jc w:val="left"/>
        <w:rPr>
          <w:sz w:val="24"/>
        </w:rPr>
      </w:pPr>
      <w:r>
        <w:rPr>
          <w:sz w:val="24"/>
        </w:rPr>
        <w:t>Long term</w:t>
      </w:r>
      <w:r>
        <w:rPr>
          <w:spacing w:val="-3"/>
          <w:sz w:val="24"/>
        </w:rPr>
        <w:t xml:space="preserve"> </w:t>
      </w:r>
      <w:r>
        <w:rPr>
          <w:sz w:val="24"/>
        </w:rPr>
        <w:t>investments,</w:t>
      </w:r>
    </w:p>
    <w:p w14:paraId="197E5EAA" w14:textId="77777777" w:rsidR="00465E99" w:rsidRDefault="006577BF">
      <w:pPr>
        <w:pStyle w:val="ListParagraph"/>
        <w:numPr>
          <w:ilvl w:val="1"/>
          <w:numId w:val="3"/>
        </w:numPr>
        <w:tabs>
          <w:tab w:val="left" w:pos="1180"/>
          <w:tab w:val="left" w:pos="1181"/>
        </w:tabs>
        <w:ind w:hanging="546"/>
        <w:jc w:val="left"/>
        <w:rPr>
          <w:sz w:val="24"/>
        </w:rPr>
      </w:pPr>
      <w:r>
        <w:rPr>
          <w:sz w:val="24"/>
        </w:rPr>
        <w:t>Capital expenditure(s),</w:t>
      </w:r>
      <w:r>
        <w:rPr>
          <w:spacing w:val="-1"/>
          <w:sz w:val="24"/>
        </w:rPr>
        <w:t xml:space="preserve"> </w:t>
      </w:r>
      <w:r>
        <w:rPr>
          <w:sz w:val="24"/>
        </w:rPr>
        <w:t>and</w:t>
      </w:r>
    </w:p>
    <w:p w14:paraId="200262F9" w14:textId="77777777" w:rsidR="00465E99" w:rsidRDefault="006577BF">
      <w:pPr>
        <w:pStyle w:val="ListParagraph"/>
        <w:numPr>
          <w:ilvl w:val="1"/>
          <w:numId w:val="3"/>
        </w:numPr>
        <w:tabs>
          <w:tab w:val="left" w:pos="1180"/>
          <w:tab w:val="left" w:pos="1181"/>
        </w:tabs>
        <w:spacing w:before="24"/>
        <w:ind w:hanging="615"/>
        <w:jc w:val="left"/>
        <w:rPr>
          <w:sz w:val="24"/>
        </w:rPr>
      </w:pPr>
      <w:r>
        <w:rPr>
          <w:sz w:val="24"/>
        </w:rPr>
        <w:t>The ratio of debt to equity (at net debt and gross debt</w:t>
      </w:r>
      <w:r>
        <w:rPr>
          <w:spacing w:val="-5"/>
          <w:sz w:val="24"/>
        </w:rPr>
        <w:t xml:space="preserve"> </w:t>
      </w:r>
      <w:r>
        <w:rPr>
          <w:sz w:val="24"/>
        </w:rPr>
        <w:t>level).</w:t>
      </w:r>
    </w:p>
    <w:p w14:paraId="169B9B50" w14:textId="77777777" w:rsidR="00465E99" w:rsidRDefault="00465E99">
      <w:pPr>
        <w:pStyle w:val="BodyText"/>
        <w:spacing w:before="8"/>
        <w:rPr>
          <w:sz w:val="27"/>
        </w:rPr>
      </w:pPr>
    </w:p>
    <w:p w14:paraId="6AA21005" w14:textId="77777777" w:rsidR="00465E99" w:rsidRDefault="006577BF">
      <w:pPr>
        <w:pStyle w:val="ListParagraph"/>
        <w:numPr>
          <w:ilvl w:val="0"/>
          <w:numId w:val="3"/>
        </w:numPr>
        <w:tabs>
          <w:tab w:val="left" w:pos="820"/>
          <w:tab w:val="left" w:pos="821"/>
        </w:tabs>
        <w:spacing w:before="1"/>
        <w:ind w:hanging="361"/>
        <w:rPr>
          <w:sz w:val="24"/>
        </w:rPr>
      </w:pPr>
      <w:r>
        <w:rPr>
          <w:sz w:val="24"/>
        </w:rPr>
        <w:t>External</w:t>
      </w:r>
      <w:r>
        <w:rPr>
          <w:spacing w:val="-2"/>
          <w:sz w:val="24"/>
        </w:rPr>
        <w:t xml:space="preserve"> </w:t>
      </w:r>
      <w:r>
        <w:rPr>
          <w:sz w:val="24"/>
        </w:rPr>
        <w:t>Factors:</w:t>
      </w:r>
    </w:p>
    <w:p w14:paraId="664D865A" w14:textId="77777777" w:rsidR="00465E99" w:rsidRDefault="00465E99">
      <w:pPr>
        <w:pStyle w:val="BodyText"/>
        <w:rPr>
          <w:sz w:val="26"/>
        </w:rPr>
      </w:pPr>
    </w:p>
    <w:p w14:paraId="4728122C" w14:textId="77777777" w:rsidR="00465E99" w:rsidRDefault="006577BF">
      <w:pPr>
        <w:pStyle w:val="ListParagraph"/>
        <w:numPr>
          <w:ilvl w:val="0"/>
          <w:numId w:val="2"/>
        </w:numPr>
        <w:tabs>
          <w:tab w:val="left" w:pos="1091"/>
          <w:tab w:val="left" w:pos="1092"/>
        </w:tabs>
        <w:spacing w:before="0"/>
        <w:rPr>
          <w:sz w:val="24"/>
        </w:rPr>
      </w:pPr>
      <w:r>
        <w:rPr>
          <w:sz w:val="24"/>
        </w:rPr>
        <w:t>Business</w:t>
      </w:r>
      <w:r>
        <w:rPr>
          <w:spacing w:val="-2"/>
          <w:sz w:val="24"/>
        </w:rPr>
        <w:t xml:space="preserve"> </w:t>
      </w:r>
      <w:r>
        <w:rPr>
          <w:sz w:val="24"/>
        </w:rPr>
        <w:t>cycles,</w:t>
      </w:r>
    </w:p>
    <w:p w14:paraId="674DF5E7" w14:textId="77777777" w:rsidR="00465E99" w:rsidRDefault="006577BF">
      <w:pPr>
        <w:pStyle w:val="ListParagraph"/>
        <w:numPr>
          <w:ilvl w:val="0"/>
          <w:numId w:val="2"/>
        </w:numPr>
        <w:tabs>
          <w:tab w:val="left" w:pos="1091"/>
          <w:tab w:val="left" w:pos="1092"/>
        </w:tabs>
        <w:rPr>
          <w:sz w:val="24"/>
        </w:rPr>
      </w:pPr>
      <w:r>
        <w:rPr>
          <w:sz w:val="24"/>
        </w:rPr>
        <w:t>Economic</w:t>
      </w:r>
      <w:r>
        <w:rPr>
          <w:spacing w:val="-3"/>
          <w:sz w:val="24"/>
        </w:rPr>
        <w:t xml:space="preserve"> </w:t>
      </w:r>
      <w:r>
        <w:rPr>
          <w:sz w:val="24"/>
        </w:rPr>
        <w:t>environment,</w:t>
      </w:r>
    </w:p>
    <w:p w14:paraId="34DF898B" w14:textId="77777777" w:rsidR="00465E99" w:rsidRDefault="006577BF">
      <w:pPr>
        <w:pStyle w:val="ListParagraph"/>
        <w:numPr>
          <w:ilvl w:val="0"/>
          <w:numId w:val="2"/>
        </w:numPr>
        <w:tabs>
          <w:tab w:val="left" w:pos="1092"/>
        </w:tabs>
        <w:spacing w:before="24"/>
        <w:rPr>
          <w:sz w:val="24"/>
        </w:rPr>
      </w:pPr>
      <w:r>
        <w:rPr>
          <w:sz w:val="24"/>
        </w:rPr>
        <w:t>Cost of external</w:t>
      </w:r>
      <w:r>
        <w:rPr>
          <w:spacing w:val="-2"/>
          <w:sz w:val="24"/>
        </w:rPr>
        <w:t xml:space="preserve"> </w:t>
      </w:r>
      <w:r>
        <w:rPr>
          <w:sz w:val="24"/>
        </w:rPr>
        <w:t>financing,</w:t>
      </w:r>
    </w:p>
    <w:p w14:paraId="7EAC5F2D" w14:textId="77777777" w:rsidR="00465E99" w:rsidRDefault="006577BF">
      <w:pPr>
        <w:pStyle w:val="ListParagraph"/>
        <w:numPr>
          <w:ilvl w:val="0"/>
          <w:numId w:val="2"/>
        </w:numPr>
        <w:tabs>
          <w:tab w:val="left" w:pos="1092"/>
        </w:tabs>
        <w:rPr>
          <w:sz w:val="24"/>
        </w:rPr>
      </w:pPr>
      <w:r>
        <w:rPr>
          <w:sz w:val="24"/>
        </w:rPr>
        <w:t>Applicable taxes including tax on</w:t>
      </w:r>
      <w:r>
        <w:rPr>
          <w:spacing w:val="-3"/>
          <w:sz w:val="24"/>
        </w:rPr>
        <w:t xml:space="preserve"> </w:t>
      </w:r>
      <w:r>
        <w:rPr>
          <w:sz w:val="24"/>
        </w:rPr>
        <w:t>dividend,</w:t>
      </w:r>
    </w:p>
    <w:p w14:paraId="35CC3EB4" w14:textId="77777777" w:rsidR="00465E99" w:rsidRDefault="006577BF">
      <w:pPr>
        <w:pStyle w:val="ListParagraph"/>
        <w:numPr>
          <w:ilvl w:val="0"/>
          <w:numId w:val="2"/>
        </w:numPr>
        <w:tabs>
          <w:tab w:val="left" w:pos="1091"/>
          <w:tab w:val="left" w:pos="1092"/>
        </w:tabs>
        <w:rPr>
          <w:sz w:val="24"/>
        </w:rPr>
      </w:pPr>
      <w:r>
        <w:rPr>
          <w:sz w:val="24"/>
        </w:rPr>
        <w:t>Industry outlook for the future</w:t>
      </w:r>
      <w:r>
        <w:rPr>
          <w:spacing w:val="-1"/>
          <w:sz w:val="24"/>
        </w:rPr>
        <w:t xml:space="preserve"> </w:t>
      </w:r>
      <w:r>
        <w:rPr>
          <w:sz w:val="24"/>
        </w:rPr>
        <w:t>years,</w:t>
      </w:r>
    </w:p>
    <w:p w14:paraId="778E54E1" w14:textId="77777777" w:rsidR="00465E99" w:rsidRDefault="006577BF">
      <w:pPr>
        <w:pStyle w:val="ListParagraph"/>
        <w:numPr>
          <w:ilvl w:val="0"/>
          <w:numId w:val="2"/>
        </w:numPr>
        <w:tabs>
          <w:tab w:val="left" w:pos="1092"/>
        </w:tabs>
        <w:spacing w:before="26"/>
        <w:rPr>
          <w:sz w:val="24"/>
        </w:rPr>
      </w:pPr>
      <w:r>
        <w:rPr>
          <w:sz w:val="24"/>
        </w:rPr>
        <w:t>Inflation rate,</w:t>
      </w:r>
      <w:r>
        <w:rPr>
          <w:spacing w:val="-2"/>
          <w:sz w:val="24"/>
        </w:rPr>
        <w:t xml:space="preserve"> </w:t>
      </w:r>
      <w:r>
        <w:rPr>
          <w:sz w:val="24"/>
        </w:rPr>
        <w:t>and</w:t>
      </w:r>
    </w:p>
    <w:p w14:paraId="2A5B459C" w14:textId="77777777" w:rsidR="00465E99" w:rsidRDefault="006577BF">
      <w:pPr>
        <w:pStyle w:val="ListParagraph"/>
        <w:numPr>
          <w:ilvl w:val="0"/>
          <w:numId w:val="2"/>
        </w:numPr>
        <w:tabs>
          <w:tab w:val="left" w:pos="1092"/>
        </w:tabs>
        <w:spacing w:line="259" w:lineRule="auto"/>
        <w:ind w:right="122"/>
        <w:rPr>
          <w:sz w:val="24"/>
        </w:rPr>
      </w:pPr>
      <w:r>
        <w:rPr>
          <w:sz w:val="24"/>
        </w:rPr>
        <w:t>Changes in the Government policies, industry specific rulings &amp; regulatory provisions.</w:t>
      </w:r>
    </w:p>
    <w:p w14:paraId="0A8A2D8B" w14:textId="77777777" w:rsidR="00465E99" w:rsidRDefault="00465E99">
      <w:pPr>
        <w:pStyle w:val="BodyText"/>
        <w:spacing w:before="11"/>
        <w:rPr>
          <w:sz w:val="25"/>
        </w:rPr>
      </w:pPr>
    </w:p>
    <w:p w14:paraId="7201E5FD" w14:textId="77777777" w:rsidR="00465E99" w:rsidRDefault="006577BF">
      <w:pPr>
        <w:pStyle w:val="BodyText"/>
        <w:spacing w:line="259" w:lineRule="auto"/>
        <w:ind w:left="100" w:right="118"/>
        <w:jc w:val="both"/>
      </w:pPr>
      <w:r>
        <w:t xml:space="preserve">Apart from the above, the Board also considers past dividend history and sense of shareholders’ </w:t>
      </w:r>
      <w:r>
        <w:lastRenderedPageBreak/>
        <w:t>expectations while determining the rate of dividend. The Board may additionally recommend special dividend in special circumstances.</w:t>
      </w:r>
    </w:p>
    <w:p w14:paraId="4DE11977" w14:textId="77777777" w:rsidR="00465E99" w:rsidRDefault="00465E99">
      <w:pPr>
        <w:pStyle w:val="BodyText"/>
        <w:spacing w:before="9"/>
        <w:rPr>
          <w:sz w:val="25"/>
        </w:rPr>
      </w:pPr>
    </w:p>
    <w:p w14:paraId="4F9ABC20" w14:textId="77777777" w:rsidR="00465E99" w:rsidRDefault="006577BF">
      <w:pPr>
        <w:pStyle w:val="BodyText"/>
        <w:spacing w:line="259" w:lineRule="auto"/>
        <w:ind w:left="100" w:right="116"/>
        <w:jc w:val="both"/>
      </w:pPr>
      <w:r>
        <w:t>The Board may consider not declaring dividend or may recommend a lower payout for a</w:t>
      </w:r>
      <w:r>
        <w:rPr>
          <w:spacing w:val="-5"/>
        </w:rPr>
        <w:t xml:space="preserve"> </w:t>
      </w:r>
      <w:r>
        <w:t>given</w:t>
      </w:r>
      <w:r>
        <w:rPr>
          <w:spacing w:val="-4"/>
        </w:rPr>
        <w:t xml:space="preserve"> </w:t>
      </w:r>
      <w:r>
        <w:t>financial</w:t>
      </w:r>
      <w:r>
        <w:rPr>
          <w:spacing w:val="-2"/>
        </w:rPr>
        <w:t xml:space="preserve"> </w:t>
      </w:r>
      <w:r>
        <w:t>year,</w:t>
      </w:r>
      <w:r>
        <w:rPr>
          <w:spacing w:val="-4"/>
        </w:rPr>
        <w:t xml:space="preserve"> </w:t>
      </w:r>
      <w:r>
        <w:t>after</w:t>
      </w:r>
      <w:r>
        <w:rPr>
          <w:spacing w:val="-2"/>
        </w:rPr>
        <w:t xml:space="preserve"> </w:t>
      </w:r>
      <w:r>
        <w:t>analyzing</w:t>
      </w:r>
      <w:r>
        <w:rPr>
          <w:spacing w:val="-4"/>
        </w:rPr>
        <w:t xml:space="preserve"> </w:t>
      </w:r>
      <w:r>
        <w:t>the</w:t>
      </w:r>
      <w:r>
        <w:rPr>
          <w:spacing w:val="-4"/>
        </w:rPr>
        <w:t xml:space="preserve"> </w:t>
      </w:r>
      <w:r>
        <w:t>prospective</w:t>
      </w:r>
      <w:r>
        <w:rPr>
          <w:spacing w:val="-4"/>
        </w:rPr>
        <w:t xml:space="preserve"> </w:t>
      </w:r>
      <w:r>
        <w:t>opportunities</w:t>
      </w:r>
      <w:r>
        <w:rPr>
          <w:spacing w:val="-5"/>
        </w:rPr>
        <w:t xml:space="preserve"> </w:t>
      </w:r>
      <w:r>
        <w:t>and</w:t>
      </w:r>
      <w:r>
        <w:rPr>
          <w:spacing w:val="-6"/>
        </w:rPr>
        <w:t xml:space="preserve"> </w:t>
      </w:r>
      <w:r>
        <w:t>threats</w:t>
      </w:r>
      <w:r>
        <w:rPr>
          <w:spacing w:val="-5"/>
        </w:rPr>
        <w:t xml:space="preserve"> </w:t>
      </w:r>
      <w:r>
        <w:t>or</w:t>
      </w:r>
      <w:r>
        <w:rPr>
          <w:spacing w:val="3"/>
        </w:rPr>
        <w:t xml:space="preserve"> </w:t>
      </w:r>
      <w:r>
        <w:t>in</w:t>
      </w:r>
      <w:r>
        <w:rPr>
          <w:spacing w:val="-6"/>
        </w:rPr>
        <w:t xml:space="preserve"> </w:t>
      </w:r>
      <w:r>
        <w:t>the event</w:t>
      </w:r>
      <w:r>
        <w:rPr>
          <w:spacing w:val="-14"/>
        </w:rPr>
        <w:t xml:space="preserve"> </w:t>
      </w:r>
      <w:r>
        <w:t>of</w:t>
      </w:r>
      <w:r>
        <w:rPr>
          <w:spacing w:val="-14"/>
        </w:rPr>
        <w:t xml:space="preserve"> </w:t>
      </w:r>
      <w:r>
        <w:t>challenging</w:t>
      </w:r>
      <w:r>
        <w:rPr>
          <w:spacing w:val="-13"/>
        </w:rPr>
        <w:t xml:space="preserve"> </w:t>
      </w:r>
      <w:r>
        <w:t>circumstances</w:t>
      </w:r>
      <w:r>
        <w:rPr>
          <w:spacing w:val="-10"/>
        </w:rPr>
        <w:t xml:space="preserve"> </w:t>
      </w:r>
      <w:r>
        <w:t>such</w:t>
      </w:r>
      <w:r>
        <w:rPr>
          <w:spacing w:val="-12"/>
        </w:rPr>
        <w:t xml:space="preserve"> </w:t>
      </w:r>
      <w:r>
        <w:t>as</w:t>
      </w:r>
      <w:r>
        <w:rPr>
          <w:spacing w:val="-12"/>
        </w:rPr>
        <w:t xml:space="preserve"> </w:t>
      </w:r>
      <w:r>
        <w:t>regulatory</w:t>
      </w:r>
      <w:r>
        <w:rPr>
          <w:spacing w:val="-13"/>
        </w:rPr>
        <w:t xml:space="preserve"> </w:t>
      </w:r>
      <w:r>
        <w:t>and</w:t>
      </w:r>
      <w:r>
        <w:rPr>
          <w:spacing w:val="-14"/>
        </w:rPr>
        <w:t xml:space="preserve"> </w:t>
      </w:r>
      <w:r>
        <w:t>financial</w:t>
      </w:r>
      <w:r>
        <w:rPr>
          <w:spacing w:val="-14"/>
        </w:rPr>
        <w:t xml:space="preserve"> </w:t>
      </w:r>
      <w:r>
        <w:t>environment.</w:t>
      </w:r>
      <w:r>
        <w:rPr>
          <w:spacing w:val="-13"/>
        </w:rPr>
        <w:t xml:space="preserve"> </w:t>
      </w:r>
      <w:r>
        <w:t>In</w:t>
      </w:r>
      <w:r>
        <w:rPr>
          <w:spacing w:val="-13"/>
        </w:rPr>
        <w:t xml:space="preserve"> </w:t>
      </w:r>
      <w:r>
        <w:t>such event, the Board will provide rationale in the Annual</w:t>
      </w:r>
      <w:r>
        <w:rPr>
          <w:spacing w:val="-10"/>
        </w:rPr>
        <w:t xml:space="preserve"> </w:t>
      </w:r>
      <w:r>
        <w:t>Report.</w:t>
      </w:r>
    </w:p>
    <w:p w14:paraId="7E3005EA" w14:textId="77777777" w:rsidR="00465E99" w:rsidRDefault="00465E99">
      <w:pPr>
        <w:pStyle w:val="BodyText"/>
        <w:spacing w:before="11"/>
        <w:rPr>
          <w:sz w:val="25"/>
        </w:rPr>
      </w:pPr>
    </w:p>
    <w:p w14:paraId="135FF099" w14:textId="77777777" w:rsidR="00465E99" w:rsidRDefault="006577BF">
      <w:pPr>
        <w:pStyle w:val="BodyText"/>
        <w:spacing w:before="1"/>
        <w:ind w:left="100"/>
      </w:pPr>
      <w:r>
        <w:t>The retained earnings of the Company may be used in any of the following ways:</w:t>
      </w:r>
    </w:p>
    <w:p w14:paraId="629DEA88" w14:textId="77777777" w:rsidR="00465E99" w:rsidRDefault="006577BF">
      <w:pPr>
        <w:pStyle w:val="ListParagraph"/>
        <w:numPr>
          <w:ilvl w:val="0"/>
          <w:numId w:val="1"/>
        </w:numPr>
        <w:tabs>
          <w:tab w:val="left" w:pos="820"/>
          <w:tab w:val="left" w:pos="821"/>
        </w:tabs>
        <w:ind w:hanging="491"/>
        <w:jc w:val="left"/>
        <w:rPr>
          <w:sz w:val="24"/>
        </w:rPr>
      </w:pPr>
      <w:r>
        <w:rPr>
          <w:sz w:val="24"/>
        </w:rPr>
        <w:t>Capital expenditure for working</w:t>
      </w:r>
      <w:r>
        <w:rPr>
          <w:spacing w:val="-1"/>
          <w:sz w:val="24"/>
        </w:rPr>
        <w:t xml:space="preserve"> </w:t>
      </w:r>
      <w:r>
        <w:rPr>
          <w:sz w:val="24"/>
        </w:rPr>
        <w:t>capital,</w:t>
      </w:r>
    </w:p>
    <w:p w14:paraId="5F3B5226" w14:textId="77777777" w:rsidR="00465E99" w:rsidRDefault="006577BF">
      <w:pPr>
        <w:pStyle w:val="ListParagraph"/>
        <w:numPr>
          <w:ilvl w:val="0"/>
          <w:numId w:val="1"/>
        </w:numPr>
        <w:tabs>
          <w:tab w:val="left" w:pos="820"/>
          <w:tab w:val="left" w:pos="821"/>
        </w:tabs>
        <w:spacing w:before="24"/>
        <w:ind w:hanging="560"/>
        <w:jc w:val="left"/>
        <w:rPr>
          <w:sz w:val="24"/>
        </w:rPr>
      </w:pPr>
      <w:r>
        <w:rPr>
          <w:sz w:val="24"/>
        </w:rPr>
        <w:t>Organic and/ or inorganic</w:t>
      </w:r>
      <w:r>
        <w:rPr>
          <w:spacing w:val="-3"/>
          <w:sz w:val="24"/>
        </w:rPr>
        <w:t xml:space="preserve"> </w:t>
      </w:r>
      <w:r>
        <w:rPr>
          <w:sz w:val="24"/>
        </w:rPr>
        <w:t>growth,</w:t>
      </w:r>
    </w:p>
    <w:p w14:paraId="01CB677B" w14:textId="77777777" w:rsidR="00465E99" w:rsidRDefault="006577BF">
      <w:pPr>
        <w:pStyle w:val="ListParagraph"/>
        <w:numPr>
          <w:ilvl w:val="0"/>
          <w:numId w:val="1"/>
        </w:numPr>
        <w:tabs>
          <w:tab w:val="left" w:pos="820"/>
          <w:tab w:val="left" w:pos="821"/>
        </w:tabs>
        <w:spacing w:line="259" w:lineRule="auto"/>
        <w:ind w:right="117" w:hanging="629"/>
        <w:jc w:val="left"/>
        <w:rPr>
          <w:sz w:val="24"/>
        </w:rPr>
      </w:pPr>
      <w:r>
        <w:rPr>
          <w:sz w:val="24"/>
        </w:rPr>
        <w:t>Investment in new business(es) and/or additional investment in existing business(es),</w:t>
      </w:r>
    </w:p>
    <w:p w14:paraId="734D8DD5" w14:textId="77777777" w:rsidR="00465E99" w:rsidRDefault="006577BF">
      <w:pPr>
        <w:pStyle w:val="ListParagraph"/>
        <w:numPr>
          <w:ilvl w:val="0"/>
          <w:numId w:val="1"/>
        </w:numPr>
        <w:tabs>
          <w:tab w:val="left" w:pos="820"/>
          <w:tab w:val="left" w:pos="821"/>
        </w:tabs>
        <w:spacing w:before="0" w:line="297" w:lineRule="exact"/>
        <w:ind w:hanging="627"/>
        <w:jc w:val="left"/>
        <w:rPr>
          <w:sz w:val="24"/>
        </w:rPr>
      </w:pPr>
      <w:r>
        <w:rPr>
          <w:sz w:val="24"/>
        </w:rPr>
        <w:t>Declaration of</w:t>
      </w:r>
      <w:r>
        <w:rPr>
          <w:spacing w:val="-2"/>
          <w:sz w:val="24"/>
        </w:rPr>
        <w:t xml:space="preserve"> </w:t>
      </w:r>
      <w:r>
        <w:rPr>
          <w:sz w:val="24"/>
        </w:rPr>
        <w:t>dividend,</w:t>
      </w:r>
    </w:p>
    <w:p w14:paraId="01470E69" w14:textId="4F5D6442" w:rsidR="00465E99" w:rsidRDefault="00F14C04">
      <w:pPr>
        <w:pStyle w:val="ListParagraph"/>
        <w:numPr>
          <w:ilvl w:val="0"/>
          <w:numId w:val="1"/>
        </w:numPr>
        <w:tabs>
          <w:tab w:val="left" w:pos="820"/>
          <w:tab w:val="left" w:pos="821"/>
        </w:tabs>
        <w:spacing w:before="26"/>
        <w:ind w:hanging="555"/>
        <w:jc w:val="left"/>
        <w:rPr>
          <w:sz w:val="24"/>
        </w:rPr>
      </w:pPr>
      <w:r>
        <w:rPr>
          <w:sz w:val="24"/>
        </w:rPr>
        <w:t>Capitalization</w:t>
      </w:r>
      <w:r w:rsidR="006577BF">
        <w:rPr>
          <w:sz w:val="24"/>
        </w:rPr>
        <w:t xml:space="preserve"> of</w:t>
      </w:r>
      <w:r w:rsidR="006577BF">
        <w:rPr>
          <w:spacing w:val="-2"/>
          <w:sz w:val="24"/>
        </w:rPr>
        <w:t xml:space="preserve"> </w:t>
      </w:r>
      <w:r w:rsidR="006577BF">
        <w:rPr>
          <w:sz w:val="24"/>
        </w:rPr>
        <w:t>shares,</w:t>
      </w:r>
    </w:p>
    <w:p w14:paraId="1E007716" w14:textId="77777777" w:rsidR="00465E99" w:rsidRDefault="006577BF">
      <w:pPr>
        <w:pStyle w:val="ListParagraph"/>
        <w:numPr>
          <w:ilvl w:val="0"/>
          <w:numId w:val="1"/>
        </w:numPr>
        <w:tabs>
          <w:tab w:val="left" w:pos="820"/>
          <w:tab w:val="left" w:pos="821"/>
        </w:tabs>
        <w:ind w:hanging="627"/>
        <w:jc w:val="left"/>
        <w:rPr>
          <w:sz w:val="24"/>
        </w:rPr>
      </w:pPr>
      <w:r>
        <w:rPr>
          <w:sz w:val="24"/>
        </w:rPr>
        <w:t>Buy back of</w:t>
      </w:r>
      <w:r>
        <w:rPr>
          <w:spacing w:val="-2"/>
          <w:sz w:val="24"/>
        </w:rPr>
        <w:t xml:space="preserve"> </w:t>
      </w:r>
      <w:r>
        <w:rPr>
          <w:sz w:val="24"/>
        </w:rPr>
        <w:t>shares,</w:t>
      </w:r>
    </w:p>
    <w:p w14:paraId="12E54F87" w14:textId="4CDC121D" w:rsidR="00465E99" w:rsidRDefault="006577BF" w:rsidP="006577BF">
      <w:pPr>
        <w:pStyle w:val="ListParagraph"/>
        <w:numPr>
          <w:ilvl w:val="0"/>
          <w:numId w:val="1"/>
        </w:numPr>
        <w:tabs>
          <w:tab w:val="left" w:pos="820"/>
          <w:tab w:val="left" w:pos="821"/>
        </w:tabs>
        <w:spacing w:before="10"/>
        <w:ind w:hanging="697"/>
        <w:jc w:val="left"/>
        <w:rPr>
          <w:sz w:val="24"/>
        </w:rPr>
      </w:pPr>
      <w:r w:rsidRPr="006577BF">
        <w:rPr>
          <w:sz w:val="24"/>
        </w:rPr>
        <w:t>General corporate purposes, including</w:t>
      </w:r>
      <w:r w:rsidRPr="006577BF">
        <w:rPr>
          <w:spacing w:val="-2"/>
          <w:sz w:val="24"/>
        </w:rPr>
        <w:t xml:space="preserve"> </w:t>
      </w:r>
      <w:r w:rsidRPr="006577BF">
        <w:rPr>
          <w:sz w:val="24"/>
        </w:rPr>
        <w:t>contingencies,</w:t>
      </w:r>
    </w:p>
    <w:p w14:paraId="31AFD015" w14:textId="0CFCC998" w:rsidR="00F14C04" w:rsidRDefault="00F14C04" w:rsidP="006577BF">
      <w:pPr>
        <w:pStyle w:val="ListParagraph"/>
        <w:numPr>
          <w:ilvl w:val="0"/>
          <w:numId w:val="1"/>
        </w:numPr>
        <w:tabs>
          <w:tab w:val="left" w:pos="820"/>
          <w:tab w:val="left" w:pos="821"/>
        </w:tabs>
        <w:spacing w:before="10"/>
        <w:ind w:hanging="697"/>
        <w:jc w:val="left"/>
        <w:rPr>
          <w:sz w:val="24"/>
        </w:rPr>
      </w:pPr>
      <w:r>
        <w:rPr>
          <w:sz w:val="24"/>
        </w:rPr>
        <w:t>Correcting the Capital Structure,</w:t>
      </w:r>
    </w:p>
    <w:p w14:paraId="58CE7C65" w14:textId="4DC5F9D4" w:rsidR="00F14C04" w:rsidRDefault="00F14C04" w:rsidP="006577BF">
      <w:pPr>
        <w:pStyle w:val="ListParagraph"/>
        <w:numPr>
          <w:ilvl w:val="0"/>
          <w:numId w:val="1"/>
        </w:numPr>
        <w:tabs>
          <w:tab w:val="left" w:pos="820"/>
          <w:tab w:val="left" w:pos="821"/>
        </w:tabs>
        <w:spacing w:before="10"/>
        <w:ind w:hanging="697"/>
        <w:jc w:val="left"/>
        <w:rPr>
          <w:sz w:val="24"/>
        </w:rPr>
      </w:pPr>
      <w:r>
        <w:rPr>
          <w:sz w:val="24"/>
        </w:rPr>
        <w:t>Any other permitted usage as per the Companies Act,2013</w:t>
      </w:r>
    </w:p>
    <w:p w14:paraId="35D6642A" w14:textId="77777777" w:rsidR="00F14C04" w:rsidRDefault="00F14C04" w:rsidP="00F14C04">
      <w:pPr>
        <w:tabs>
          <w:tab w:val="left" w:pos="820"/>
          <w:tab w:val="left" w:pos="821"/>
        </w:tabs>
        <w:spacing w:before="10"/>
        <w:ind w:left="123"/>
        <w:rPr>
          <w:sz w:val="24"/>
        </w:rPr>
      </w:pPr>
      <w:r w:rsidRPr="00F14C04">
        <w:rPr>
          <w:sz w:val="24"/>
        </w:rPr>
        <w:t>This</w:t>
      </w:r>
      <w:r>
        <w:rPr>
          <w:sz w:val="24"/>
        </w:rPr>
        <w:t xml:space="preserve"> policy may be reviewed periodically by the Board. Any Changes or revisions to the policy will be communicated to the Shareholders in a timely manner.</w:t>
      </w:r>
    </w:p>
    <w:p w14:paraId="6EA92869" w14:textId="3D75AF9E" w:rsidR="00F14C04" w:rsidRDefault="009B1E52" w:rsidP="00F14C04">
      <w:pPr>
        <w:tabs>
          <w:tab w:val="left" w:pos="820"/>
          <w:tab w:val="left" w:pos="821"/>
        </w:tabs>
        <w:spacing w:before="10"/>
        <w:ind w:left="123"/>
        <w:rPr>
          <w:sz w:val="24"/>
        </w:rPr>
      </w:pPr>
      <w:r>
        <w:rPr>
          <w:sz w:val="24"/>
        </w:rPr>
        <w:t xml:space="preserve">The policy will be available on the Company’s website and the link to the policy </w:t>
      </w:r>
      <w:hyperlink r:id="rId5" w:history="1">
        <w:r w:rsidRPr="00753A67">
          <w:rPr>
            <w:rStyle w:val="Hyperlink"/>
            <w:sz w:val="24"/>
          </w:rPr>
          <w:t>www.supertannery.com/investor, the</w:t>
        </w:r>
      </w:hyperlink>
      <w:r>
        <w:rPr>
          <w:sz w:val="24"/>
        </w:rPr>
        <w:t xml:space="preserve"> policy will also be disclosed in the Annual Report. </w:t>
      </w:r>
    </w:p>
    <w:p w14:paraId="3F0E2756" w14:textId="7CCD6503" w:rsidR="00F14C04" w:rsidRPr="00F14C04" w:rsidRDefault="00F14C04" w:rsidP="00F14C04">
      <w:pPr>
        <w:tabs>
          <w:tab w:val="left" w:pos="820"/>
          <w:tab w:val="left" w:pos="821"/>
        </w:tabs>
        <w:spacing w:before="10"/>
        <w:ind w:left="123"/>
        <w:rPr>
          <w:sz w:val="24"/>
        </w:rPr>
      </w:pPr>
      <w:r>
        <w:rPr>
          <w:sz w:val="24"/>
        </w:rPr>
        <w:lastRenderedPageBreak/>
        <w:t xml:space="preserve"> </w:t>
      </w:r>
    </w:p>
    <w:p w14:paraId="0D8AFE30" w14:textId="284625D2" w:rsidR="00F14C04" w:rsidRDefault="00F14C04" w:rsidP="00F14C04">
      <w:pPr>
        <w:pStyle w:val="ListParagraph"/>
        <w:tabs>
          <w:tab w:val="left" w:pos="820"/>
          <w:tab w:val="left" w:pos="821"/>
        </w:tabs>
        <w:spacing w:before="10"/>
        <w:ind w:left="820" w:firstLine="0"/>
        <w:jc w:val="right"/>
        <w:rPr>
          <w:sz w:val="24"/>
        </w:rPr>
      </w:pPr>
    </w:p>
    <w:p w14:paraId="2625AD7A" w14:textId="0E7CE00A" w:rsidR="00F14C04" w:rsidRDefault="00F14C04" w:rsidP="00F14C04">
      <w:pPr>
        <w:pStyle w:val="ListParagraph"/>
        <w:tabs>
          <w:tab w:val="left" w:pos="820"/>
          <w:tab w:val="left" w:pos="821"/>
        </w:tabs>
        <w:spacing w:before="10"/>
        <w:ind w:left="820" w:firstLine="0"/>
        <w:jc w:val="right"/>
        <w:rPr>
          <w:sz w:val="24"/>
        </w:rPr>
      </w:pPr>
    </w:p>
    <w:p w14:paraId="67AB9461" w14:textId="2F9A4E98" w:rsidR="00F14C04" w:rsidRDefault="00F14C04" w:rsidP="00F14C04">
      <w:pPr>
        <w:pStyle w:val="ListParagraph"/>
        <w:tabs>
          <w:tab w:val="left" w:pos="820"/>
          <w:tab w:val="left" w:pos="821"/>
        </w:tabs>
        <w:spacing w:before="10"/>
        <w:ind w:left="820" w:firstLine="0"/>
        <w:jc w:val="right"/>
        <w:rPr>
          <w:sz w:val="24"/>
        </w:rPr>
      </w:pPr>
      <w:r>
        <w:rPr>
          <w:sz w:val="24"/>
        </w:rPr>
        <w:tab/>
        <w:t xml:space="preserve">  </w:t>
      </w:r>
    </w:p>
    <w:p w14:paraId="2C04389A" w14:textId="38FC2FFB" w:rsidR="00F14C04" w:rsidRDefault="00F14C04" w:rsidP="00F14C04">
      <w:pPr>
        <w:pStyle w:val="ListParagraph"/>
        <w:tabs>
          <w:tab w:val="left" w:pos="820"/>
          <w:tab w:val="left" w:pos="821"/>
        </w:tabs>
        <w:spacing w:before="10"/>
        <w:ind w:left="820" w:firstLine="0"/>
        <w:jc w:val="right"/>
        <w:rPr>
          <w:sz w:val="24"/>
        </w:rPr>
      </w:pPr>
    </w:p>
    <w:p w14:paraId="3DC98753" w14:textId="3A8B7586" w:rsidR="00F14C04" w:rsidRDefault="00F14C04" w:rsidP="00F14C04">
      <w:pPr>
        <w:pStyle w:val="ListParagraph"/>
        <w:tabs>
          <w:tab w:val="left" w:pos="820"/>
          <w:tab w:val="left" w:pos="821"/>
        </w:tabs>
        <w:spacing w:before="10"/>
        <w:ind w:left="820" w:firstLine="0"/>
        <w:jc w:val="right"/>
        <w:rPr>
          <w:sz w:val="24"/>
        </w:rPr>
      </w:pPr>
      <w:r>
        <w:rPr>
          <w:sz w:val="24"/>
        </w:rPr>
        <w:tab/>
      </w:r>
      <w:r>
        <w:rPr>
          <w:sz w:val="24"/>
        </w:rPr>
        <w:tab/>
      </w:r>
    </w:p>
    <w:sectPr w:rsidR="00F14C04">
      <w:pgSz w:w="12000" w:h="8000" w:orient="landscape"/>
      <w:pgMar w:top="720" w:right="3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47BC4"/>
    <w:multiLevelType w:val="hybridMultilevel"/>
    <w:tmpl w:val="C4A483A8"/>
    <w:lvl w:ilvl="0" w:tplc="3640B1AE">
      <w:start w:val="1"/>
      <w:numFmt w:val="lowerRoman"/>
      <w:lvlText w:val="%1."/>
      <w:lvlJc w:val="left"/>
      <w:pPr>
        <w:ind w:left="1091" w:hanging="452"/>
        <w:jc w:val="left"/>
      </w:pPr>
      <w:rPr>
        <w:rFonts w:ascii="Book Antiqua" w:eastAsia="Book Antiqua" w:hAnsi="Book Antiqua" w:cs="Book Antiqua" w:hint="default"/>
        <w:spacing w:val="-1"/>
        <w:w w:val="100"/>
        <w:sz w:val="24"/>
        <w:szCs w:val="24"/>
        <w:lang w:val="en-US" w:eastAsia="en-US" w:bidi="en-US"/>
      </w:rPr>
    </w:lvl>
    <w:lvl w:ilvl="1" w:tplc="D930987C">
      <w:numFmt w:val="bullet"/>
      <w:lvlText w:val="•"/>
      <w:lvlJc w:val="left"/>
      <w:pPr>
        <w:ind w:left="1948" w:hanging="452"/>
      </w:pPr>
      <w:rPr>
        <w:rFonts w:hint="default"/>
        <w:lang w:val="en-US" w:eastAsia="en-US" w:bidi="en-US"/>
      </w:rPr>
    </w:lvl>
    <w:lvl w:ilvl="2" w:tplc="5B565978">
      <w:numFmt w:val="bullet"/>
      <w:lvlText w:val="•"/>
      <w:lvlJc w:val="left"/>
      <w:pPr>
        <w:ind w:left="2796" w:hanging="452"/>
      </w:pPr>
      <w:rPr>
        <w:rFonts w:hint="default"/>
        <w:lang w:val="en-US" w:eastAsia="en-US" w:bidi="en-US"/>
      </w:rPr>
    </w:lvl>
    <w:lvl w:ilvl="3" w:tplc="E47ADE02">
      <w:numFmt w:val="bullet"/>
      <w:lvlText w:val="•"/>
      <w:lvlJc w:val="left"/>
      <w:pPr>
        <w:ind w:left="3644" w:hanging="452"/>
      </w:pPr>
      <w:rPr>
        <w:rFonts w:hint="default"/>
        <w:lang w:val="en-US" w:eastAsia="en-US" w:bidi="en-US"/>
      </w:rPr>
    </w:lvl>
    <w:lvl w:ilvl="4" w:tplc="7F20931A">
      <w:numFmt w:val="bullet"/>
      <w:lvlText w:val="•"/>
      <w:lvlJc w:val="left"/>
      <w:pPr>
        <w:ind w:left="4492" w:hanging="452"/>
      </w:pPr>
      <w:rPr>
        <w:rFonts w:hint="default"/>
        <w:lang w:val="en-US" w:eastAsia="en-US" w:bidi="en-US"/>
      </w:rPr>
    </w:lvl>
    <w:lvl w:ilvl="5" w:tplc="BED6927C">
      <w:numFmt w:val="bullet"/>
      <w:lvlText w:val="•"/>
      <w:lvlJc w:val="left"/>
      <w:pPr>
        <w:ind w:left="5340" w:hanging="452"/>
      </w:pPr>
      <w:rPr>
        <w:rFonts w:hint="default"/>
        <w:lang w:val="en-US" w:eastAsia="en-US" w:bidi="en-US"/>
      </w:rPr>
    </w:lvl>
    <w:lvl w:ilvl="6" w:tplc="09ECDF08">
      <w:numFmt w:val="bullet"/>
      <w:lvlText w:val="•"/>
      <w:lvlJc w:val="left"/>
      <w:pPr>
        <w:ind w:left="6188" w:hanging="452"/>
      </w:pPr>
      <w:rPr>
        <w:rFonts w:hint="default"/>
        <w:lang w:val="en-US" w:eastAsia="en-US" w:bidi="en-US"/>
      </w:rPr>
    </w:lvl>
    <w:lvl w:ilvl="7" w:tplc="CBE6F23E">
      <w:numFmt w:val="bullet"/>
      <w:lvlText w:val="•"/>
      <w:lvlJc w:val="left"/>
      <w:pPr>
        <w:ind w:left="7036" w:hanging="452"/>
      </w:pPr>
      <w:rPr>
        <w:rFonts w:hint="default"/>
        <w:lang w:val="en-US" w:eastAsia="en-US" w:bidi="en-US"/>
      </w:rPr>
    </w:lvl>
    <w:lvl w:ilvl="8" w:tplc="D37A6F16">
      <w:numFmt w:val="bullet"/>
      <w:lvlText w:val="•"/>
      <w:lvlJc w:val="left"/>
      <w:pPr>
        <w:ind w:left="7884" w:hanging="452"/>
      </w:pPr>
      <w:rPr>
        <w:rFonts w:hint="default"/>
        <w:lang w:val="en-US" w:eastAsia="en-US" w:bidi="en-US"/>
      </w:rPr>
    </w:lvl>
  </w:abstractNum>
  <w:abstractNum w:abstractNumId="1" w15:restartNumberingAfterBreak="0">
    <w:nsid w:val="104C5564"/>
    <w:multiLevelType w:val="hybridMultilevel"/>
    <w:tmpl w:val="41B87B2A"/>
    <w:lvl w:ilvl="0" w:tplc="884664F0">
      <w:start w:val="1"/>
      <w:numFmt w:val="lowerRoman"/>
      <w:lvlText w:val="%1."/>
      <w:lvlJc w:val="left"/>
      <w:pPr>
        <w:ind w:left="820" w:hanging="490"/>
        <w:jc w:val="right"/>
      </w:pPr>
      <w:rPr>
        <w:rFonts w:ascii="Book Antiqua" w:eastAsia="Book Antiqua" w:hAnsi="Book Antiqua" w:cs="Book Antiqua" w:hint="default"/>
        <w:spacing w:val="-3"/>
        <w:w w:val="100"/>
        <w:sz w:val="24"/>
        <w:szCs w:val="24"/>
        <w:lang w:val="en-US" w:eastAsia="en-US" w:bidi="en-US"/>
      </w:rPr>
    </w:lvl>
    <w:lvl w:ilvl="1" w:tplc="AE429EA6">
      <w:numFmt w:val="bullet"/>
      <w:lvlText w:val="•"/>
      <w:lvlJc w:val="left"/>
      <w:pPr>
        <w:ind w:left="1696" w:hanging="490"/>
      </w:pPr>
      <w:rPr>
        <w:rFonts w:hint="default"/>
        <w:lang w:val="en-US" w:eastAsia="en-US" w:bidi="en-US"/>
      </w:rPr>
    </w:lvl>
    <w:lvl w:ilvl="2" w:tplc="CA5E0668">
      <w:numFmt w:val="bullet"/>
      <w:lvlText w:val="•"/>
      <w:lvlJc w:val="left"/>
      <w:pPr>
        <w:ind w:left="2572" w:hanging="490"/>
      </w:pPr>
      <w:rPr>
        <w:rFonts w:hint="default"/>
        <w:lang w:val="en-US" w:eastAsia="en-US" w:bidi="en-US"/>
      </w:rPr>
    </w:lvl>
    <w:lvl w:ilvl="3" w:tplc="2D78C01A">
      <w:numFmt w:val="bullet"/>
      <w:lvlText w:val="•"/>
      <w:lvlJc w:val="left"/>
      <w:pPr>
        <w:ind w:left="3448" w:hanging="490"/>
      </w:pPr>
      <w:rPr>
        <w:rFonts w:hint="default"/>
        <w:lang w:val="en-US" w:eastAsia="en-US" w:bidi="en-US"/>
      </w:rPr>
    </w:lvl>
    <w:lvl w:ilvl="4" w:tplc="34DEA4E4">
      <w:numFmt w:val="bullet"/>
      <w:lvlText w:val="•"/>
      <w:lvlJc w:val="left"/>
      <w:pPr>
        <w:ind w:left="4324" w:hanging="490"/>
      </w:pPr>
      <w:rPr>
        <w:rFonts w:hint="default"/>
        <w:lang w:val="en-US" w:eastAsia="en-US" w:bidi="en-US"/>
      </w:rPr>
    </w:lvl>
    <w:lvl w:ilvl="5" w:tplc="7018C080">
      <w:numFmt w:val="bullet"/>
      <w:lvlText w:val="•"/>
      <w:lvlJc w:val="left"/>
      <w:pPr>
        <w:ind w:left="5200" w:hanging="490"/>
      </w:pPr>
      <w:rPr>
        <w:rFonts w:hint="default"/>
        <w:lang w:val="en-US" w:eastAsia="en-US" w:bidi="en-US"/>
      </w:rPr>
    </w:lvl>
    <w:lvl w:ilvl="6" w:tplc="9362BA42">
      <w:numFmt w:val="bullet"/>
      <w:lvlText w:val="•"/>
      <w:lvlJc w:val="left"/>
      <w:pPr>
        <w:ind w:left="6076" w:hanging="490"/>
      </w:pPr>
      <w:rPr>
        <w:rFonts w:hint="default"/>
        <w:lang w:val="en-US" w:eastAsia="en-US" w:bidi="en-US"/>
      </w:rPr>
    </w:lvl>
    <w:lvl w:ilvl="7" w:tplc="F1DC4D9A">
      <w:numFmt w:val="bullet"/>
      <w:lvlText w:val="•"/>
      <w:lvlJc w:val="left"/>
      <w:pPr>
        <w:ind w:left="6952" w:hanging="490"/>
      </w:pPr>
      <w:rPr>
        <w:rFonts w:hint="default"/>
        <w:lang w:val="en-US" w:eastAsia="en-US" w:bidi="en-US"/>
      </w:rPr>
    </w:lvl>
    <w:lvl w:ilvl="8" w:tplc="84460916">
      <w:numFmt w:val="bullet"/>
      <w:lvlText w:val="•"/>
      <w:lvlJc w:val="left"/>
      <w:pPr>
        <w:ind w:left="7828" w:hanging="490"/>
      </w:pPr>
      <w:rPr>
        <w:rFonts w:hint="default"/>
        <w:lang w:val="en-US" w:eastAsia="en-US" w:bidi="en-US"/>
      </w:rPr>
    </w:lvl>
  </w:abstractNum>
  <w:abstractNum w:abstractNumId="2" w15:restartNumberingAfterBreak="0">
    <w:nsid w:val="7DA73E3F"/>
    <w:multiLevelType w:val="hybridMultilevel"/>
    <w:tmpl w:val="7674BB60"/>
    <w:lvl w:ilvl="0" w:tplc="FDE4BD34">
      <w:numFmt w:val="bullet"/>
      <w:lvlText w:val=""/>
      <w:lvlJc w:val="left"/>
      <w:pPr>
        <w:ind w:left="820" w:hanging="360"/>
      </w:pPr>
      <w:rPr>
        <w:rFonts w:ascii="Symbol" w:eastAsia="Symbol" w:hAnsi="Symbol" w:cs="Symbol" w:hint="default"/>
        <w:w w:val="100"/>
        <w:sz w:val="24"/>
        <w:szCs w:val="24"/>
        <w:lang w:val="en-US" w:eastAsia="en-US" w:bidi="en-US"/>
      </w:rPr>
    </w:lvl>
    <w:lvl w:ilvl="1" w:tplc="229E6118">
      <w:start w:val="1"/>
      <w:numFmt w:val="lowerRoman"/>
      <w:lvlText w:val="%2."/>
      <w:lvlJc w:val="left"/>
      <w:pPr>
        <w:ind w:left="1180" w:hanging="490"/>
        <w:jc w:val="right"/>
      </w:pPr>
      <w:rPr>
        <w:rFonts w:ascii="Book Antiqua" w:eastAsia="Book Antiqua" w:hAnsi="Book Antiqua" w:cs="Book Antiqua" w:hint="default"/>
        <w:spacing w:val="-2"/>
        <w:w w:val="100"/>
        <w:sz w:val="24"/>
        <w:szCs w:val="24"/>
        <w:lang w:val="en-US" w:eastAsia="en-US" w:bidi="en-US"/>
      </w:rPr>
    </w:lvl>
    <w:lvl w:ilvl="2" w:tplc="54465BD6">
      <w:start w:val="1"/>
      <w:numFmt w:val="lowerLetter"/>
      <w:lvlText w:val="%3."/>
      <w:lvlJc w:val="left"/>
      <w:pPr>
        <w:ind w:left="1900" w:hanging="360"/>
        <w:jc w:val="left"/>
      </w:pPr>
      <w:rPr>
        <w:rFonts w:ascii="Book Antiqua" w:eastAsia="Book Antiqua" w:hAnsi="Book Antiqua" w:cs="Book Antiqua" w:hint="default"/>
        <w:spacing w:val="-2"/>
        <w:w w:val="100"/>
        <w:sz w:val="24"/>
        <w:szCs w:val="24"/>
        <w:lang w:val="en-US" w:eastAsia="en-US" w:bidi="en-US"/>
      </w:rPr>
    </w:lvl>
    <w:lvl w:ilvl="3" w:tplc="B042459E">
      <w:numFmt w:val="bullet"/>
      <w:lvlText w:val="•"/>
      <w:lvlJc w:val="left"/>
      <w:pPr>
        <w:ind w:left="2860" w:hanging="360"/>
      </w:pPr>
      <w:rPr>
        <w:rFonts w:hint="default"/>
        <w:lang w:val="en-US" w:eastAsia="en-US" w:bidi="en-US"/>
      </w:rPr>
    </w:lvl>
    <w:lvl w:ilvl="4" w:tplc="54EEC516">
      <w:numFmt w:val="bullet"/>
      <w:lvlText w:val="•"/>
      <w:lvlJc w:val="left"/>
      <w:pPr>
        <w:ind w:left="3820" w:hanging="360"/>
      </w:pPr>
      <w:rPr>
        <w:rFonts w:hint="default"/>
        <w:lang w:val="en-US" w:eastAsia="en-US" w:bidi="en-US"/>
      </w:rPr>
    </w:lvl>
    <w:lvl w:ilvl="5" w:tplc="718C9952">
      <w:numFmt w:val="bullet"/>
      <w:lvlText w:val="•"/>
      <w:lvlJc w:val="left"/>
      <w:pPr>
        <w:ind w:left="4780" w:hanging="360"/>
      </w:pPr>
      <w:rPr>
        <w:rFonts w:hint="default"/>
        <w:lang w:val="en-US" w:eastAsia="en-US" w:bidi="en-US"/>
      </w:rPr>
    </w:lvl>
    <w:lvl w:ilvl="6" w:tplc="504A8BF6">
      <w:numFmt w:val="bullet"/>
      <w:lvlText w:val="•"/>
      <w:lvlJc w:val="left"/>
      <w:pPr>
        <w:ind w:left="5740" w:hanging="360"/>
      </w:pPr>
      <w:rPr>
        <w:rFonts w:hint="default"/>
        <w:lang w:val="en-US" w:eastAsia="en-US" w:bidi="en-US"/>
      </w:rPr>
    </w:lvl>
    <w:lvl w:ilvl="7" w:tplc="E410CF3A">
      <w:numFmt w:val="bullet"/>
      <w:lvlText w:val="•"/>
      <w:lvlJc w:val="left"/>
      <w:pPr>
        <w:ind w:left="6700" w:hanging="360"/>
      </w:pPr>
      <w:rPr>
        <w:rFonts w:hint="default"/>
        <w:lang w:val="en-US" w:eastAsia="en-US" w:bidi="en-US"/>
      </w:rPr>
    </w:lvl>
    <w:lvl w:ilvl="8" w:tplc="74347718">
      <w:numFmt w:val="bullet"/>
      <w:lvlText w:val="•"/>
      <w:lvlJc w:val="left"/>
      <w:pPr>
        <w:ind w:left="7660" w:hanging="36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65E99"/>
    <w:rsid w:val="00465E99"/>
    <w:rsid w:val="006577BF"/>
    <w:rsid w:val="009B1E52"/>
    <w:rsid w:val="00BA2E9C"/>
    <w:rsid w:val="00BF4F9C"/>
    <w:rsid w:val="00F1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AF09"/>
  <w15:docId w15:val="{341CBC66-4341-4A83-B8F0-A272A11D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3"/>
      <w:ind w:left="1180" w:hanging="45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B1E52"/>
    <w:rPr>
      <w:color w:val="0000FF" w:themeColor="hyperlink"/>
      <w:u w:val="single"/>
    </w:rPr>
  </w:style>
  <w:style w:type="character" w:styleId="UnresolvedMention">
    <w:name w:val="Unresolved Mention"/>
    <w:basedOn w:val="DefaultParagraphFont"/>
    <w:uiPriority w:val="99"/>
    <w:semiHidden/>
    <w:unhideWhenUsed/>
    <w:rsid w:val="009B1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pertannery.com/investor,%20th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 KRITHIKA--MUMBAI - WORLI</dc:creator>
  <cp:lastModifiedBy>R.K Awasthi</cp:lastModifiedBy>
  <cp:revision>5</cp:revision>
  <dcterms:created xsi:type="dcterms:W3CDTF">2021-01-25T10:06:00Z</dcterms:created>
  <dcterms:modified xsi:type="dcterms:W3CDTF">2021-01-25T10:55:00Z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Microsoft® Word 2013</vt:lpwstr>
  </property>
  <property fmtid="{D5CDD505-2E9C-101B-9397-08002B2CF9AE}" pid="4" name="LastSaved">
    <vt:filetime>2021-01-25T00:00:00Z</vt:filetime>
  </property>
</Properties>
</file>